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B3A86" w14:textId="3CC58DD8" w:rsidR="00DC0967" w:rsidRPr="00532FAB" w:rsidRDefault="00685298" w:rsidP="00DC0967">
      <w:pPr>
        <w:spacing w:beforeLines="50" w:before="180" w:afterLines="50" w:after="180" w:line="340" w:lineRule="exact"/>
        <w:jc w:val="center"/>
        <w:rPr>
          <w:b/>
          <w:bCs/>
        </w:rPr>
      </w:pPr>
      <w:r>
        <w:rPr>
          <w:rFonts w:ascii="標楷體" w:eastAsia="標楷體" w:hAnsi="標楷體" w:hint="eastAsia"/>
          <w:b/>
          <w:bCs/>
          <w:sz w:val="28"/>
          <w:szCs w:val="28"/>
          <w:lang w:eastAsia="zh-HK"/>
        </w:rPr>
        <w:t>中華民國仲裁協會「</w:t>
      </w:r>
      <w:r w:rsidR="00DC0967" w:rsidRPr="00057697">
        <w:rPr>
          <w:rFonts w:ascii="標楷體" w:eastAsia="標楷體" w:hAnsi="標楷體" w:hint="eastAsia"/>
          <w:b/>
          <w:bCs/>
          <w:sz w:val="28"/>
          <w:szCs w:val="28"/>
          <w:lang w:eastAsia="zh-HK"/>
        </w:rPr>
        <w:t>仲裁人評估利益衝突或揭露事項檢查表</w:t>
      </w:r>
      <w:r>
        <w:rPr>
          <w:rFonts w:ascii="標楷體" w:eastAsia="標楷體" w:hAnsi="標楷體" w:hint="eastAsia"/>
          <w:b/>
          <w:bCs/>
          <w:sz w:val="28"/>
          <w:szCs w:val="28"/>
          <w:lang w:eastAsia="zh-HK"/>
        </w:rPr>
        <w:t>」</w:t>
      </w:r>
      <w:r w:rsidR="00DC0967">
        <w:rPr>
          <w:rFonts w:ascii="SimHei" w:eastAsia="SimHei" w:hAnsi="SimHei" w:hint="eastAsia"/>
          <w:b/>
          <w:bCs/>
          <w:sz w:val="28"/>
          <w:szCs w:val="28"/>
          <w:lang w:eastAsia="zh-HK"/>
        </w:rPr>
        <w:t>*</w:t>
      </w: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2405"/>
        <w:gridCol w:w="3125"/>
        <w:gridCol w:w="3537"/>
      </w:tblGrid>
      <w:tr w:rsidR="00DC0967" w14:paraId="75E0C5B2" w14:textId="77777777" w:rsidTr="00DC0967">
        <w:tc>
          <w:tcPr>
            <w:tcW w:w="2405" w:type="dxa"/>
          </w:tcPr>
          <w:p w14:paraId="0F00E2C7" w14:textId="77777777" w:rsidR="00DC0967" w:rsidRPr="0043302B" w:rsidRDefault="00DC0967" w:rsidP="002D5259">
            <w:pPr>
              <w:spacing w:before="50" w:after="50" w:line="340" w:lineRule="exact"/>
              <w:jc w:val="center"/>
              <w:rPr>
                <w:b/>
                <w:bCs/>
              </w:rPr>
            </w:pPr>
            <w:r w:rsidRPr="0043302B">
              <w:rPr>
                <w:rFonts w:ascii="標楷體" w:eastAsia="標楷體" w:hAnsi="標楷體" w:hint="eastAsia"/>
                <w:b/>
                <w:bCs/>
              </w:rPr>
              <w:t>性質</w:t>
            </w:r>
          </w:p>
        </w:tc>
        <w:tc>
          <w:tcPr>
            <w:tcW w:w="3125" w:type="dxa"/>
          </w:tcPr>
          <w:p w14:paraId="30089355" w14:textId="77777777" w:rsidR="00DC0967" w:rsidRPr="0043302B" w:rsidRDefault="00DC0967" w:rsidP="002D5259">
            <w:pPr>
              <w:spacing w:before="50" w:after="50" w:line="340" w:lineRule="exact"/>
              <w:jc w:val="center"/>
              <w:rPr>
                <w:b/>
                <w:bCs/>
              </w:rPr>
            </w:pPr>
            <w:r w:rsidRPr="0043302B">
              <w:rPr>
                <w:rFonts w:ascii="標楷體" w:eastAsia="標楷體" w:hAnsi="標楷體" w:hint="eastAsia"/>
                <w:b/>
                <w:bCs/>
              </w:rPr>
              <w:t>檢查</w:t>
            </w:r>
            <w:r>
              <w:rPr>
                <w:rFonts w:ascii="標楷體" w:eastAsia="標楷體" w:hAnsi="標楷體" w:hint="eastAsia"/>
                <w:b/>
                <w:bCs/>
              </w:rPr>
              <w:t>事</w:t>
            </w:r>
            <w:r w:rsidRPr="0043302B">
              <w:rPr>
                <w:rFonts w:ascii="標楷體" w:eastAsia="標楷體" w:hAnsi="標楷體" w:hint="eastAsia"/>
                <w:b/>
                <w:bCs/>
              </w:rPr>
              <w:t>項</w:t>
            </w:r>
          </w:p>
        </w:tc>
        <w:tc>
          <w:tcPr>
            <w:tcW w:w="3537" w:type="dxa"/>
          </w:tcPr>
          <w:p w14:paraId="5408EFB5" w14:textId="77777777" w:rsidR="00DC0967" w:rsidRPr="0043302B" w:rsidRDefault="00DC0967" w:rsidP="002D5259">
            <w:pPr>
              <w:spacing w:before="50" w:after="50" w:line="340" w:lineRule="exact"/>
              <w:jc w:val="center"/>
              <w:rPr>
                <w:b/>
                <w:bCs/>
              </w:rPr>
            </w:pPr>
            <w:r w:rsidRPr="0043302B">
              <w:rPr>
                <w:rFonts w:ascii="標楷體" w:eastAsia="標楷體" w:hAnsi="標楷體" w:hint="eastAsia"/>
                <w:b/>
                <w:bCs/>
              </w:rPr>
              <w:t>說明</w:t>
            </w:r>
          </w:p>
        </w:tc>
      </w:tr>
      <w:tr w:rsidR="00DC0967" w14:paraId="7E065900" w14:textId="77777777" w:rsidTr="00DC0967">
        <w:tc>
          <w:tcPr>
            <w:tcW w:w="2405" w:type="dxa"/>
          </w:tcPr>
          <w:p w14:paraId="4B0D40CA" w14:textId="77777777" w:rsidR="00DC0967" w:rsidRDefault="00DC0967" w:rsidP="002D5259">
            <w:pPr>
              <w:spacing w:before="50" w:after="50" w:line="340" w:lineRule="exact"/>
              <w:jc w:val="both"/>
            </w:pPr>
            <w:r>
              <w:rPr>
                <w:rFonts w:ascii="標楷體" w:eastAsia="標楷體" w:hAnsi="標楷體" w:hint="eastAsia"/>
              </w:rPr>
              <w:t>仲裁人與當事人及其代理人、證人、專家等之間的</w:t>
            </w:r>
            <w:r w:rsidRPr="00B05FF3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3125" w:type="dxa"/>
          </w:tcPr>
          <w:p w14:paraId="567B5A6D" w14:textId="77777777" w:rsidR="00DC0967" w:rsidRPr="001A3CC3" w:rsidRDefault="00DC0967" w:rsidP="00DC0967">
            <w:pPr>
              <w:pStyle w:val="a3"/>
              <w:numPr>
                <w:ilvl w:val="0"/>
                <w:numId w:val="1"/>
              </w:numPr>
              <w:spacing w:line="340" w:lineRule="exact"/>
              <w:ind w:leftChars="0" w:left="357" w:hanging="357"/>
              <w:jc w:val="both"/>
              <w:rPr>
                <w:rFonts w:ascii="標楷體" w:eastAsia="標楷體" w:hAnsi="標楷體"/>
                <w:spacing w:val="-20"/>
              </w:rPr>
            </w:pPr>
            <w:r w:rsidRPr="001A3CC3">
              <w:rPr>
                <w:rFonts w:ascii="標楷體" w:eastAsia="標楷體" w:hAnsi="標楷體" w:hint="eastAsia"/>
                <w:spacing w:val="-20"/>
              </w:rPr>
              <w:t>本人（或親近家人）或法律事務所與當事人或其關聯機構之間任何關係；</w:t>
            </w:r>
          </w:p>
          <w:p w14:paraId="5548E7A8" w14:textId="77777777" w:rsidR="00DC0967" w:rsidRPr="001A3CC3" w:rsidRDefault="00DC0967" w:rsidP="00DC0967">
            <w:pPr>
              <w:pStyle w:val="a3"/>
              <w:numPr>
                <w:ilvl w:val="0"/>
                <w:numId w:val="1"/>
              </w:numPr>
              <w:spacing w:line="340" w:lineRule="exact"/>
              <w:ind w:leftChars="0" w:left="357" w:hanging="357"/>
              <w:jc w:val="both"/>
              <w:rPr>
                <w:rFonts w:ascii="標楷體" w:eastAsia="標楷體" w:hAnsi="標楷體"/>
                <w:spacing w:val="-20"/>
              </w:rPr>
            </w:pPr>
            <w:r w:rsidRPr="001A3CC3">
              <w:rPr>
                <w:rFonts w:ascii="標楷體" w:eastAsia="標楷體" w:hAnsi="標楷體" w:hint="eastAsia"/>
                <w:spacing w:val="-20"/>
              </w:rPr>
              <w:t>本人或法律事務所與仲裁代理人之間任何關係；</w:t>
            </w:r>
          </w:p>
          <w:p w14:paraId="68EBECA0" w14:textId="77777777" w:rsidR="00DC0967" w:rsidRPr="001A3CC3" w:rsidRDefault="00DC0967" w:rsidP="00DC0967">
            <w:pPr>
              <w:pStyle w:val="a3"/>
              <w:numPr>
                <w:ilvl w:val="0"/>
                <w:numId w:val="1"/>
              </w:numPr>
              <w:spacing w:line="340" w:lineRule="exact"/>
              <w:ind w:leftChars="0" w:left="357" w:hanging="357"/>
              <w:jc w:val="both"/>
              <w:rPr>
                <w:rFonts w:ascii="標楷體" w:eastAsia="標楷體" w:hAnsi="標楷體"/>
                <w:spacing w:val="-20"/>
              </w:rPr>
            </w:pPr>
            <w:r w:rsidRPr="001A3CC3">
              <w:rPr>
                <w:rFonts w:ascii="標楷體" w:eastAsia="標楷體" w:hAnsi="標楷體" w:hint="eastAsia"/>
                <w:spacing w:val="-20"/>
              </w:rPr>
              <w:t>本人與證人或專家之間任何關係；</w:t>
            </w:r>
          </w:p>
          <w:p w14:paraId="3DE192BD" w14:textId="77777777" w:rsidR="00DC0967" w:rsidRPr="001A3CC3" w:rsidRDefault="00DC0967" w:rsidP="00DC0967">
            <w:pPr>
              <w:pStyle w:val="a3"/>
              <w:numPr>
                <w:ilvl w:val="0"/>
                <w:numId w:val="1"/>
              </w:numPr>
              <w:spacing w:line="340" w:lineRule="exact"/>
              <w:ind w:leftChars="0" w:left="357" w:hanging="357"/>
              <w:jc w:val="both"/>
              <w:rPr>
                <w:rFonts w:ascii="標楷體" w:eastAsia="標楷體" w:hAnsi="標楷體"/>
                <w:spacing w:val="-20"/>
              </w:rPr>
            </w:pPr>
            <w:r w:rsidRPr="001A3CC3">
              <w:rPr>
                <w:rFonts w:ascii="標楷體" w:eastAsia="標楷體" w:hAnsi="標楷體" w:hint="eastAsia"/>
                <w:spacing w:val="-20"/>
              </w:rPr>
              <w:t>本人</w:t>
            </w:r>
            <w:r>
              <w:rPr>
                <w:rFonts w:ascii="標楷體" w:eastAsia="標楷體" w:hAnsi="標楷體" w:hint="eastAsia"/>
                <w:spacing w:val="-20"/>
              </w:rPr>
              <w:t>（或親近家人）與當事人或其關聯機構有可觀的財務利益，例如</w:t>
            </w:r>
            <w:r w:rsidRPr="001A3CC3">
              <w:rPr>
                <w:rFonts w:ascii="標楷體" w:eastAsia="標楷體" w:hAnsi="標楷體" w:hint="eastAsia"/>
                <w:spacing w:val="-20"/>
              </w:rPr>
              <w:t>直接或間接持有未上</w:t>
            </w:r>
            <w:proofErr w:type="gramStart"/>
            <w:r w:rsidRPr="001A3CC3">
              <w:rPr>
                <w:rFonts w:ascii="標楷體" w:eastAsia="標楷體" w:hAnsi="標楷體" w:hint="eastAsia"/>
                <w:spacing w:val="-20"/>
              </w:rPr>
              <w:t>巿</w:t>
            </w:r>
            <w:proofErr w:type="gramEnd"/>
            <w:r w:rsidRPr="001A3CC3">
              <w:rPr>
                <w:rFonts w:ascii="標楷體" w:eastAsia="標楷體" w:hAnsi="標楷體" w:hint="eastAsia"/>
                <w:spacing w:val="-20"/>
              </w:rPr>
              <w:t>之當事人或其關聯機構的股份</w:t>
            </w:r>
            <w:r>
              <w:rPr>
                <w:rFonts w:ascii="標楷體" w:eastAsia="標楷體" w:hAnsi="標楷體" w:hint="eastAsia"/>
                <w:spacing w:val="-20"/>
              </w:rPr>
              <w:t>，或持有</w:t>
            </w:r>
            <w:r w:rsidRPr="001A3CC3">
              <w:rPr>
                <w:rFonts w:ascii="標楷體" w:eastAsia="標楷體" w:hAnsi="標楷體" w:hint="eastAsia"/>
                <w:spacing w:val="-20"/>
              </w:rPr>
              <w:t>已上</w:t>
            </w:r>
            <w:proofErr w:type="gramStart"/>
            <w:r w:rsidRPr="001A3CC3">
              <w:rPr>
                <w:rFonts w:ascii="標楷體" w:eastAsia="標楷體" w:hAnsi="標楷體" w:hint="eastAsia"/>
                <w:spacing w:val="-20"/>
              </w:rPr>
              <w:t>巿</w:t>
            </w:r>
            <w:proofErr w:type="gramEnd"/>
            <w:r w:rsidRPr="001A3CC3">
              <w:rPr>
                <w:rFonts w:ascii="標楷體" w:eastAsia="標楷體" w:hAnsi="標楷體" w:hint="eastAsia"/>
                <w:spacing w:val="-20"/>
              </w:rPr>
              <w:t>當事人或其關聯機構的股份</w:t>
            </w:r>
            <w:r>
              <w:rPr>
                <w:rFonts w:ascii="標楷體" w:eastAsia="標楷體" w:hAnsi="標楷體" w:hint="eastAsia"/>
                <w:spacing w:val="-20"/>
              </w:rPr>
              <w:t>，</w:t>
            </w:r>
            <w:r w:rsidRPr="001A3CC3">
              <w:rPr>
                <w:rFonts w:ascii="標楷體" w:eastAsia="標楷體" w:hAnsi="標楷體" w:hint="eastAsia"/>
                <w:spacing w:val="-20"/>
              </w:rPr>
              <w:t>且為可觀的持股。</w:t>
            </w:r>
          </w:p>
        </w:tc>
        <w:tc>
          <w:tcPr>
            <w:tcW w:w="3537" w:type="dxa"/>
            <w:vMerge w:val="restart"/>
          </w:tcPr>
          <w:p w14:paraId="11C7239F" w14:textId="77777777" w:rsidR="00DC0967" w:rsidRPr="004A3F16" w:rsidRDefault="00DC0967" w:rsidP="00DC0967">
            <w:pPr>
              <w:pStyle w:val="a3"/>
              <w:numPr>
                <w:ilvl w:val="0"/>
                <w:numId w:val="3"/>
              </w:numPr>
              <w:spacing w:before="50" w:after="50" w:line="340" w:lineRule="exact"/>
              <w:ind w:leftChars="0" w:left="309" w:hanging="309"/>
              <w:jc w:val="both"/>
              <w:rPr>
                <w:rFonts w:ascii="標楷體" w:eastAsia="標楷體" w:hAnsi="標楷體"/>
              </w:rPr>
            </w:pPr>
            <w:r w:rsidRPr="004A3F16">
              <w:rPr>
                <w:rFonts w:ascii="標楷體" w:eastAsia="標楷體" w:hAnsi="標楷體" w:hint="eastAsia"/>
              </w:rPr>
              <w:t>關係包括職業（包括合署執業）、業務(包括提供諮詢、代理)、財務利益、或非財務利益（例如私誼）、</w:t>
            </w:r>
            <w:r>
              <w:rPr>
                <w:rFonts w:ascii="標楷體" w:eastAsia="標楷體" w:hAnsi="標楷體" w:hint="eastAsia"/>
              </w:rPr>
              <w:t>控制影響力、</w:t>
            </w:r>
            <w:r w:rsidRPr="004A3F16">
              <w:rPr>
                <w:rFonts w:ascii="標楷體" w:eastAsia="標楷體" w:hAnsi="標楷體" w:hint="eastAsia"/>
              </w:rPr>
              <w:t>衝突對立等關係；</w:t>
            </w:r>
          </w:p>
          <w:p w14:paraId="1FAE3EC4" w14:textId="77777777" w:rsidR="00DC0967" w:rsidRPr="004A3F16" w:rsidRDefault="00DC0967" w:rsidP="00DC0967">
            <w:pPr>
              <w:pStyle w:val="a3"/>
              <w:numPr>
                <w:ilvl w:val="0"/>
                <w:numId w:val="3"/>
              </w:numPr>
              <w:spacing w:before="50" w:after="50" w:line="340" w:lineRule="exact"/>
              <w:ind w:leftChars="0" w:left="309" w:hanging="309"/>
              <w:jc w:val="both"/>
              <w:rPr>
                <w:rFonts w:ascii="標楷體" w:eastAsia="標楷體" w:hAnsi="標楷體"/>
              </w:rPr>
            </w:pPr>
            <w:r w:rsidRPr="004A3F16">
              <w:rPr>
                <w:rFonts w:ascii="標楷體" w:eastAsia="標楷體" w:hAnsi="標楷體" w:hint="eastAsia"/>
              </w:rPr>
              <w:t>當事人為法律實體時，仲裁人與對該實體有控制影響力者（法定代理人、經理人、董事、監察人等）之間關係應納入檢查；</w:t>
            </w:r>
          </w:p>
          <w:p w14:paraId="7AAA9AEC" w14:textId="77777777" w:rsidR="00DC0967" w:rsidRPr="004A3F16" w:rsidRDefault="00DC0967" w:rsidP="00DC0967">
            <w:pPr>
              <w:pStyle w:val="a3"/>
              <w:numPr>
                <w:ilvl w:val="0"/>
                <w:numId w:val="3"/>
              </w:numPr>
              <w:spacing w:before="50" w:after="50" w:line="340" w:lineRule="exact"/>
              <w:ind w:leftChars="0" w:left="309" w:hanging="309"/>
              <w:jc w:val="both"/>
              <w:rPr>
                <w:rFonts w:ascii="標楷體" w:eastAsia="標楷體" w:hAnsi="標楷體"/>
              </w:rPr>
            </w:pPr>
            <w:r w:rsidRPr="004A3F16">
              <w:rPr>
                <w:rFonts w:ascii="標楷體" w:eastAsia="標楷體" w:hAnsi="標楷體" w:hint="eastAsia"/>
              </w:rPr>
              <w:t>「國際律師協會國際仲裁利益衝突指引</w:t>
            </w:r>
            <w:r w:rsidRPr="004A3F16">
              <w:rPr>
                <w:rFonts w:ascii="標楷體" w:eastAsia="標楷體" w:hAnsi="標楷體"/>
              </w:rPr>
              <w:t>」</w:t>
            </w:r>
            <w:r w:rsidRPr="004A3F16">
              <w:rPr>
                <w:rFonts w:ascii="標楷體" w:eastAsia="標楷體" w:hAnsi="標楷體" w:hint="eastAsia"/>
              </w:rPr>
              <w:t>所指「親近家人」包括配偶、兄弟姊妹、子女、父母或伴侶。</w:t>
            </w:r>
          </w:p>
        </w:tc>
      </w:tr>
      <w:tr w:rsidR="00DC0967" w14:paraId="13F1572D" w14:textId="77777777" w:rsidTr="00DC0967">
        <w:tc>
          <w:tcPr>
            <w:tcW w:w="2405" w:type="dxa"/>
          </w:tcPr>
          <w:p w14:paraId="54914C36" w14:textId="03EA6485" w:rsidR="00DC0967" w:rsidRPr="00B05FF3" w:rsidRDefault="00DC0967" w:rsidP="002D5259">
            <w:pPr>
              <w:spacing w:before="50" w:after="50"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仲裁人被重</w:t>
            </w:r>
            <w:r w:rsidR="00A64D22">
              <w:rPr>
                <w:rFonts w:ascii="標楷體" w:eastAsia="標楷體" w:hAnsi="標楷體" w:hint="eastAsia"/>
              </w:rPr>
              <w:t>複</w:t>
            </w:r>
            <w:r>
              <w:rPr>
                <w:rFonts w:ascii="標楷體" w:eastAsia="標楷體" w:hAnsi="標楷體" w:hint="eastAsia"/>
              </w:rPr>
              <w:t>選任</w:t>
            </w:r>
          </w:p>
        </w:tc>
        <w:tc>
          <w:tcPr>
            <w:tcW w:w="3125" w:type="dxa"/>
          </w:tcPr>
          <w:p w14:paraId="65258D28" w14:textId="63749061" w:rsidR="00DC0967" w:rsidRPr="00F047D0" w:rsidRDefault="00DC0967" w:rsidP="002D5259">
            <w:pPr>
              <w:pStyle w:val="a3"/>
              <w:spacing w:before="50" w:after="50" w:line="340" w:lineRule="exact"/>
              <w:ind w:leftChars="0" w:left="0"/>
              <w:rPr>
                <w:rFonts w:ascii="標楷體" w:eastAsia="標楷體" w:hAnsi="標楷體"/>
                <w:spacing w:val="-20"/>
              </w:rPr>
            </w:pPr>
            <w:r w:rsidRPr="00F047D0">
              <w:rPr>
                <w:rFonts w:ascii="標楷體" w:eastAsia="標楷體" w:hAnsi="標楷體" w:hint="eastAsia"/>
                <w:spacing w:val="-20"/>
              </w:rPr>
              <w:t>最近3年內3次以上為同一當事人或其關聯機構重</w:t>
            </w:r>
            <w:r w:rsidR="00A64D22">
              <w:rPr>
                <w:rFonts w:ascii="標楷體" w:eastAsia="標楷體" w:hAnsi="標楷體" w:hint="eastAsia"/>
                <w:spacing w:val="-20"/>
              </w:rPr>
              <w:t>複</w:t>
            </w:r>
            <w:r w:rsidRPr="00F047D0">
              <w:rPr>
                <w:rFonts w:ascii="標楷體" w:eastAsia="標楷體" w:hAnsi="標楷體" w:hint="eastAsia"/>
                <w:spacing w:val="-20"/>
              </w:rPr>
              <w:t>選任</w:t>
            </w:r>
          </w:p>
        </w:tc>
        <w:tc>
          <w:tcPr>
            <w:tcW w:w="3537" w:type="dxa"/>
            <w:vMerge/>
          </w:tcPr>
          <w:p w14:paraId="6CA513B1" w14:textId="77777777" w:rsidR="00DC0967" w:rsidRDefault="00DC0967" w:rsidP="002D5259">
            <w:pPr>
              <w:spacing w:before="50" w:after="50" w:line="340" w:lineRule="exact"/>
              <w:jc w:val="both"/>
            </w:pPr>
          </w:p>
        </w:tc>
      </w:tr>
      <w:tr w:rsidR="00DC0967" w14:paraId="79A31EB8" w14:textId="77777777" w:rsidTr="00DC0967">
        <w:tc>
          <w:tcPr>
            <w:tcW w:w="2405" w:type="dxa"/>
          </w:tcPr>
          <w:p w14:paraId="2CAA2627" w14:textId="77777777" w:rsidR="00DC0967" w:rsidRDefault="00DC0967" w:rsidP="002D5259">
            <w:pPr>
              <w:spacing w:before="50" w:after="50"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仲裁人與仲裁爭議的關係</w:t>
            </w:r>
          </w:p>
        </w:tc>
        <w:tc>
          <w:tcPr>
            <w:tcW w:w="3125" w:type="dxa"/>
          </w:tcPr>
          <w:p w14:paraId="1686609D" w14:textId="77777777" w:rsidR="00DC0967" w:rsidRPr="00544388" w:rsidRDefault="00DC0967" w:rsidP="00DC0967">
            <w:pPr>
              <w:pStyle w:val="a3"/>
              <w:numPr>
                <w:ilvl w:val="0"/>
                <w:numId w:val="2"/>
              </w:numPr>
              <w:spacing w:before="50" w:after="50" w:line="340" w:lineRule="exact"/>
              <w:ind w:leftChars="0"/>
              <w:rPr>
                <w:rFonts w:ascii="標楷體" w:eastAsia="標楷體" w:hAnsi="標楷體"/>
                <w:spacing w:val="-20"/>
              </w:rPr>
            </w:pPr>
            <w:r w:rsidRPr="00544388">
              <w:rPr>
                <w:rFonts w:ascii="標楷體" w:eastAsia="標楷體" w:hAnsi="標楷體" w:hint="eastAsia"/>
                <w:spacing w:val="-20"/>
              </w:rPr>
              <w:t>本人或其關聯</w:t>
            </w:r>
            <w:proofErr w:type="gramStart"/>
            <w:r w:rsidRPr="00544388">
              <w:rPr>
                <w:rFonts w:ascii="標楷體" w:eastAsia="標楷體" w:hAnsi="標楷體" w:hint="eastAsia"/>
                <w:spacing w:val="-20"/>
              </w:rPr>
              <w:t>機構就系爭</w:t>
            </w:r>
            <w:proofErr w:type="gramEnd"/>
            <w:r w:rsidRPr="00544388">
              <w:rPr>
                <w:rFonts w:ascii="標楷體" w:eastAsia="標楷體" w:hAnsi="標楷體" w:hint="eastAsia"/>
                <w:spacing w:val="-20"/>
              </w:rPr>
              <w:t>事件先前即有涉入，或提供法律建議或專家意見；</w:t>
            </w:r>
          </w:p>
          <w:p w14:paraId="3C353496" w14:textId="77777777" w:rsidR="00DC0967" w:rsidRPr="00544388" w:rsidRDefault="00DC0967" w:rsidP="00DC0967">
            <w:pPr>
              <w:pStyle w:val="a3"/>
              <w:numPr>
                <w:ilvl w:val="0"/>
                <w:numId w:val="2"/>
              </w:numPr>
              <w:spacing w:before="50" w:after="50" w:line="340" w:lineRule="exact"/>
              <w:ind w:leftChars="0"/>
              <w:rPr>
                <w:rFonts w:ascii="標楷體" w:eastAsia="標楷體" w:hAnsi="標楷體"/>
                <w:spacing w:val="-20"/>
              </w:rPr>
            </w:pPr>
            <w:r w:rsidRPr="00544388">
              <w:rPr>
                <w:rFonts w:ascii="標楷體" w:eastAsia="標楷體" w:hAnsi="標楷體" w:hint="eastAsia"/>
                <w:spacing w:val="-20"/>
              </w:rPr>
              <w:t>本人曾以法官身分於最近</w:t>
            </w:r>
            <w:proofErr w:type="gramStart"/>
            <w:r w:rsidRPr="00544388">
              <w:rPr>
                <w:rFonts w:ascii="標楷體" w:eastAsia="標楷體" w:hAnsi="標楷體" w:hint="eastAsia"/>
                <w:spacing w:val="-20"/>
              </w:rPr>
              <w:t>三</w:t>
            </w:r>
            <w:proofErr w:type="gramEnd"/>
            <w:r w:rsidRPr="00544388">
              <w:rPr>
                <w:rFonts w:ascii="標楷體" w:eastAsia="標楷體" w:hAnsi="標楷體" w:hint="eastAsia"/>
                <w:spacing w:val="-20"/>
              </w:rPr>
              <w:t>年內審理涉及當事人或其關聯機構的重大案件；</w:t>
            </w:r>
          </w:p>
          <w:p w14:paraId="602F3841" w14:textId="77777777" w:rsidR="00DC0967" w:rsidRPr="0084242B" w:rsidRDefault="00DC0967" w:rsidP="00DC0967">
            <w:pPr>
              <w:pStyle w:val="a3"/>
              <w:numPr>
                <w:ilvl w:val="0"/>
                <w:numId w:val="2"/>
              </w:numPr>
              <w:spacing w:before="50" w:after="50" w:line="340" w:lineRule="exact"/>
              <w:ind w:leftChars="0"/>
              <w:rPr>
                <w:rFonts w:ascii="標楷體" w:eastAsia="標楷體" w:hAnsi="標楷體"/>
              </w:rPr>
            </w:pPr>
            <w:r w:rsidRPr="00544388">
              <w:rPr>
                <w:rFonts w:ascii="標楷體" w:eastAsia="標楷體" w:hAnsi="標楷體" w:hint="eastAsia"/>
                <w:spacing w:val="-20"/>
              </w:rPr>
              <w:t>本人曾對系爭事件公開表明特定的立場。</w:t>
            </w:r>
          </w:p>
        </w:tc>
        <w:tc>
          <w:tcPr>
            <w:tcW w:w="3537" w:type="dxa"/>
            <w:vMerge/>
          </w:tcPr>
          <w:p w14:paraId="0E8E06AF" w14:textId="77777777" w:rsidR="00DC0967" w:rsidRDefault="00DC0967" w:rsidP="002D5259">
            <w:pPr>
              <w:spacing w:before="50" w:after="50" w:line="340" w:lineRule="exact"/>
              <w:rPr>
                <w:rFonts w:ascii="標楷體" w:eastAsia="標楷體" w:hAnsi="標楷體"/>
              </w:rPr>
            </w:pPr>
          </w:p>
        </w:tc>
      </w:tr>
      <w:tr w:rsidR="00DC0967" w14:paraId="5086D7E3" w14:textId="77777777" w:rsidTr="00DC0967">
        <w:tc>
          <w:tcPr>
            <w:tcW w:w="2405" w:type="dxa"/>
          </w:tcPr>
          <w:p w14:paraId="01DE6D10" w14:textId="77777777" w:rsidR="00DC0967" w:rsidRDefault="00DC0967" w:rsidP="002D5259">
            <w:pPr>
              <w:spacing w:before="50" w:after="50" w:line="340" w:lineRule="exact"/>
            </w:pPr>
            <w:r>
              <w:rPr>
                <w:rFonts w:ascii="標楷體" w:eastAsia="標楷體" w:hAnsi="標楷體" w:hint="eastAsia"/>
              </w:rPr>
              <w:t>仲裁人與仲裁</w:t>
            </w:r>
            <w:r w:rsidRPr="00B05FF3">
              <w:rPr>
                <w:rFonts w:ascii="標楷體" w:eastAsia="標楷體" w:hAnsi="標楷體" w:hint="eastAsia"/>
              </w:rPr>
              <w:t>判斷結果</w:t>
            </w:r>
            <w:r>
              <w:rPr>
                <w:rFonts w:ascii="標楷體" w:eastAsia="標楷體" w:hAnsi="標楷體" w:hint="eastAsia"/>
              </w:rPr>
              <w:t>的關係</w:t>
            </w:r>
          </w:p>
        </w:tc>
        <w:tc>
          <w:tcPr>
            <w:tcW w:w="3125" w:type="dxa"/>
          </w:tcPr>
          <w:p w14:paraId="4D0AA7CC" w14:textId="77777777" w:rsidR="00DC0967" w:rsidRPr="00532FAB" w:rsidRDefault="00DC0967" w:rsidP="00DC0967">
            <w:pPr>
              <w:pStyle w:val="a3"/>
              <w:numPr>
                <w:ilvl w:val="0"/>
                <w:numId w:val="4"/>
              </w:numPr>
              <w:spacing w:before="50" w:after="50" w:line="340" w:lineRule="exact"/>
              <w:ind w:leftChars="0" w:left="312" w:hanging="283"/>
              <w:jc w:val="both"/>
              <w:rPr>
                <w:rFonts w:ascii="標楷體" w:eastAsia="標楷體" w:hAnsi="標楷體"/>
                <w:spacing w:val="-20"/>
              </w:rPr>
            </w:pPr>
            <w:r w:rsidRPr="00532FAB">
              <w:rPr>
                <w:rFonts w:ascii="標楷體" w:eastAsia="標楷體" w:hAnsi="標楷體" w:hint="eastAsia"/>
                <w:spacing w:val="-20"/>
              </w:rPr>
              <w:t>本人</w:t>
            </w:r>
            <w:r>
              <w:rPr>
                <w:rFonts w:ascii="標楷體" w:eastAsia="標楷體" w:hAnsi="標楷體" w:hint="eastAsia"/>
                <w:spacing w:val="-20"/>
              </w:rPr>
              <w:t>（或</w:t>
            </w:r>
            <w:r w:rsidRPr="00532FAB">
              <w:rPr>
                <w:rFonts w:ascii="標楷體" w:eastAsia="標楷體" w:hAnsi="標楷體" w:hint="eastAsia"/>
                <w:spacing w:val="-20"/>
              </w:rPr>
              <w:t>親近家人</w:t>
            </w:r>
            <w:r>
              <w:rPr>
                <w:rFonts w:ascii="標楷體" w:eastAsia="標楷體" w:hAnsi="標楷體" w:hint="eastAsia"/>
                <w:spacing w:val="-20"/>
              </w:rPr>
              <w:t>）</w:t>
            </w:r>
            <w:r w:rsidRPr="00532FAB">
              <w:rPr>
                <w:rFonts w:ascii="標楷體" w:eastAsia="標楷體" w:hAnsi="標楷體" w:hint="eastAsia"/>
                <w:spacing w:val="-20"/>
              </w:rPr>
              <w:t>或法律事務所對仲裁案件結果有可觀的財務利益；</w:t>
            </w:r>
          </w:p>
          <w:p w14:paraId="2CD424AA" w14:textId="77777777" w:rsidR="00DC0967" w:rsidRPr="00532FAB" w:rsidRDefault="00DC0967" w:rsidP="00DC0967">
            <w:pPr>
              <w:pStyle w:val="a3"/>
              <w:numPr>
                <w:ilvl w:val="0"/>
                <w:numId w:val="4"/>
              </w:numPr>
              <w:spacing w:before="50" w:after="50" w:line="340" w:lineRule="exact"/>
              <w:ind w:leftChars="0" w:left="312" w:hanging="283"/>
              <w:jc w:val="both"/>
              <w:rPr>
                <w:rFonts w:ascii="標楷體" w:eastAsia="標楷體" w:hAnsi="標楷體"/>
                <w:spacing w:val="-20"/>
              </w:rPr>
            </w:pPr>
            <w:r w:rsidRPr="00532FAB">
              <w:rPr>
                <w:rFonts w:ascii="標楷體" w:eastAsia="標楷體" w:hAnsi="標楷體" w:hint="eastAsia"/>
                <w:spacing w:val="-20"/>
              </w:rPr>
              <w:t>本人與對仲裁結果有</w:t>
            </w:r>
            <w:r>
              <w:rPr>
                <w:rFonts w:ascii="標楷體" w:eastAsia="標楷體" w:hAnsi="標楷體" w:hint="eastAsia"/>
                <w:spacing w:val="-20"/>
              </w:rPr>
              <w:t>直接經濟</w:t>
            </w:r>
            <w:r w:rsidRPr="00532FAB">
              <w:rPr>
                <w:rFonts w:ascii="標楷體" w:eastAsia="標楷體" w:hAnsi="標楷體" w:hint="eastAsia"/>
                <w:spacing w:val="-20"/>
              </w:rPr>
              <w:t>利益之非當事人之間任何關係；</w:t>
            </w:r>
          </w:p>
          <w:p w14:paraId="618F5949" w14:textId="77777777" w:rsidR="00DC0967" w:rsidRPr="00532FAB" w:rsidRDefault="00DC0967" w:rsidP="00DC0967">
            <w:pPr>
              <w:pStyle w:val="a3"/>
              <w:numPr>
                <w:ilvl w:val="0"/>
                <w:numId w:val="4"/>
              </w:numPr>
              <w:spacing w:before="50" w:after="50" w:line="340" w:lineRule="exact"/>
              <w:ind w:leftChars="0" w:left="312" w:hanging="283"/>
              <w:jc w:val="both"/>
              <w:rPr>
                <w:spacing w:val="-20"/>
              </w:rPr>
            </w:pPr>
            <w:r w:rsidRPr="00532FAB">
              <w:rPr>
                <w:rFonts w:ascii="標楷體" w:eastAsia="標楷體" w:hAnsi="標楷體" w:hint="eastAsia"/>
                <w:spacing w:val="-20"/>
              </w:rPr>
              <w:t>本人</w:t>
            </w:r>
            <w:r>
              <w:rPr>
                <w:rFonts w:ascii="標楷體" w:eastAsia="標楷體" w:hAnsi="標楷體" w:hint="eastAsia"/>
                <w:spacing w:val="-20"/>
              </w:rPr>
              <w:t>（或親近家人）</w:t>
            </w:r>
            <w:r w:rsidRPr="00532FAB">
              <w:rPr>
                <w:rFonts w:ascii="標楷體" w:eastAsia="標楷體" w:hAnsi="標楷體" w:hint="eastAsia"/>
                <w:spacing w:val="-20"/>
              </w:rPr>
              <w:t>與應依仲裁判斷賠償一方當事人之非當事人之間任何關係。</w:t>
            </w:r>
          </w:p>
        </w:tc>
        <w:tc>
          <w:tcPr>
            <w:tcW w:w="3537" w:type="dxa"/>
            <w:vMerge/>
          </w:tcPr>
          <w:p w14:paraId="536122F4" w14:textId="77777777" w:rsidR="00DC0967" w:rsidRDefault="00DC0967" w:rsidP="002D5259">
            <w:pPr>
              <w:spacing w:before="50" w:after="50" w:line="340" w:lineRule="exact"/>
            </w:pPr>
          </w:p>
        </w:tc>
      </w:tr>
    </w:tbl>
    <w:p w14:paraId="7634E6A4" w14:textId="7AFD9307" w:rsidR="005D6F8C" w:rsidRPr="00DC0967" w:rsidRDefault="00DC0967" w:rsidP="00DC0967">
      <w:pPr>
        <w:spacing w:line="240" w:lineRule="atLeast"/>
        <w:ind w:left="141" w:hangingChars="50" w:hanging="141"/>
      </w:pPr>
      <w:r>
        <w:rPr>
          <w:rFonts w:ascii="SimHei" w:eastAsia="SimHei" w:hAnsi="SimHei" w:hint="eastAsia"/>
          <w:b/>
          <w:bCs/>
          <w:sz w:val="28"/>
          <w:szCs w:val="28"/>
          <w:lang w:eastAsia="zh-HK"/>
        </w:rPr>
        <w:t>*</w:t>
      </w:r>
      <w:r w:rsidRPr="00532FAB">
        <w:rPr>
          <w:rFonts w:ascii="標楷體" w:eastAsia="標楷體" w:hAnsi="標楷體" w:hint="eastAsia"/>
        </w:rPr>
        <w:t>本表</w:t>
      </w:r>
      <w:r>
        <w:rPr>
          <w:rFonts w:ascii="標楷體" w:eastAsia="標楷體" w:hAnsi="標楷體" w:hint="eastAsia"/>
        </w:rPr>
        <w:t>旨在以</w:t>
      </w:r>
      <w:r w:rsidRPr="00F047D0">
        <w:rPr>
          <w:rFonts w:ascii="標楷體" w:eastAsia="標楷體" w:hAnsi="標楷體" w:hint="eastAsia"/>
        </w:rPr>
        <w:t>較有系統</w:t>
      </w:r>
      <w:r>
        <w:rPr>
          <w:rFonts w:ascii="標楷體" w:eastAsia="標楷體" w:hAnsi="標楷體" w:hint="eastAsia"/>
        </w:rPr>
        <w:t>方式，協助仲裁人填寫本會仲裁人聲明書時</w:t>
      </w:r>
      <w:r w:rsidRPr="00F047D0">
        <w:rPr>
          <w:rFonts w:ascii="標楷體" w:eastAsia="標楷體" w:hAnsi="標楷體" w:hint="eastAsia"/>
        </w:rPr>
        <w:t>考量決定是否接受推選或有無揭露事項</w:t>
      </w:r>
      <w:r>
        <w:rPr>
          <w:rFonts w:ascii="標楷體" w:eastAsia="標楷體" w:hAnsi="標楷體" w:hint="eastAsia"/>
        </w:rPr>
        <w:t>。</w:t>
      </w:r>
    </w:p>
    <w:sectPr w:rsidR="005D6F8C" w:rsidRPr="00DC0967" w:rsidSect="00DC096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0A500" w14:textId="77777777" w:rsidR="0008474E" w:rsidRDefault="0008474E" w:rsidP="00A64D22">
      <w:r>
        <w:separator/>
      </w:r>
    </w:p>
  </w:endnote>
  <w:endnote w:type="continuationSeparator" w:id="0">
    <w:p w14:paraId="50FCCF36" w14:textId="77777777" w:rsidR="0008474E" w:rsidRDefault="0008474E" w:rsidP="00A64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4CE20" w14:textId="77777777" w:rsidR="0008474E" w:rsidRDefault="0008474E" w:rsidP="00A64D22">
      <w:r>
        <w:separator/>
      </w:r>
    </w:p>
  </w:footnote>
  <w:footnote w:type="continuationSeparator" w:id="0">
    <w:p w14:paraId="1ABE252A" w14:textId="77777777" w:rsidR="0008474E" w:rsidRDefault="0008474E" w:rsidP="00A64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56681"/>
    <w:multiLevelType w:val="hybridMultilevel"/>
    <w:tmpl w:val="BB9E22D6"/>
    <w:lvl w:ilvl="0" w:tplc="118EBB8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0D934F1"/>
    <w:multiLevelType w:val="hybridMultilevel"/>
    <w:tmpl w:val="C63ED44E"/>
    <w:lvl w:ilvl="0" w:tplc="C6A8B7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E0273B"/>
    <w:multiLevelType w:val="hybridMultilevel"/>
    <w:tmpl w:val="4ADA22C0"/>
    <w:lvl w:ilvl="0" w:tplc="3132A61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AA96B18"/>
    <w:multiLevelType w:val="hybridMultilevel"/>
    <w:tmpl w:val="188025D6"/>
    <w:lvl w:ilvl="0" w:tplc="A58A2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967"/>
    <w:rsid w:val="0008474E"/>
    <w:rsid w:val="002F455D"/>
    <w:rsid w:val="005D6F8C"/>
    <w:rsid w:val="00685298"/>
    <w:rsid w:val="009F3D24"/>
    <w:rsid w:val="00A64D22"/>
    <w:rsid w:val="00DC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810CD7"/>
  <w15:chartTrackingRefBased/>
  <w15:docId w15:val="{DD809F29-DADA-4761-AEDE-2F8A23185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96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967"/>
    <w:pPr>
      <w:ind w:leftChars="200" w:left="480"/>
    </w:pPr>
  </w:style>
  <w:style w:type="table" w:styleId="a4">
    <w:name w:val="Table Grid"/>
    <w:basedOn w:val="a1"/>
    <w:uiPriority w:val="39"/>
    <w:rsid w:val="00DC0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64D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64D2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64D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64D2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2022-01-11T07:34:00Z</dcterms:created>
  <dcterms:modified xsi:type="dcterms:W3CDTF">2022-01-12T09:38:00Z</dcterms:modified>
</cp:coreProperties>
</file>